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4E950F">
      <w:pPr>
        <w:pStyle w:val="2"/>
        <w:keepNext w:val="0"/>
        <w:keepLines w:val="0"/>
        <w:pageBreakBefore w:val="0"/>
        <w:widowControl w:val="0"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right="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附件2</w:t>
      </w:r>
    </w:p>
    <w:p w14:paraId="06F7B7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1600" w:firstLineChars="400"/>
        <w:jc w:val="both"/>
        <w:textAlignment w:val="auto"/>
        <w:rPr>
          <w:rFonts w:hint="eastAsia" w:ascii="方正大标宋简体" w:hAnsi="方正大标宋简体" w:eastAsia="方正大标宋简体" w:cs="方正大标宋简体"/>
          <w:i w:val="0"/>
          <w:iCs w:val="0"/>
          <w:caps w:val="0"/>
          <w:color w:val="auto"/>
          <w:spacing w:val="0"/>
          <w:sz w:val="40"/>
          <w:szCs w:val="40"/>
          <w:shd w:val="clear" w:color="auto" w:fill="FFFFFF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0"/>
          <w:szCs w:val="40"/>
          <w:shd w:val="clear" w:color="auto" w:fill="FFFFFF"/>
          <w:lang w:val="en-US" w:eastAsia="zh-CN"/>
        </w:rPr>
        <w:t>大型基建主要风险点及防控措施</w:t>
      </w:r>
      <w:bookmarkEnd w:id="0"/>
    </w:p>
    <w:tbl>
      <w:tblPr>
        <w:tblStyle w:val="3"/>
        <w:tblW w:w="5472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6"/>
        <w:gridCol w:w="2221"/>
        <w:gridCol w:w="1523"/>
        <w:gridCol w:w="2655"/>
        <w:gridCol w:w="1571"/>
      </w:tblGrid>
      <w:tr w14:paraId="1310F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7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19E3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风险类型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6BB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具体风险表现</w:t>
            </w:r>
          </w:p>
        </w:tc>
        <w:tc>
          <w:tcPr>
            <w:tcW w:w="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F48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高发环节</w:t>
            </w:r>
          </w:p>
        </w:tc>
        <w:tc>
          <w:tcPr>
            <w:tcW w:w="1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B7F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防控措施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D23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实施部门</w:t>
            </w:r>
          </w:p>
        </w:tc>
      </w:tr>
      <w:tr w14:paraId="6C982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0" w:hRule="atLeast"/>
          <w:jc w:val="center"/>
        </w:trPr>
        <w:tc>
          <w:tcPr>
            <w:tcW w:w="7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61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仿宋_GB2312" w:hAnsi="Arial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立项风险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B80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未开展可行性研究导致项目烂尾(如选址不当、资金缺口)</w:t>
            </w:r>
          </w:p>
        </w:tc>
        <w:tc>
          <w:tcPr>
            <w:tcW w:w="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723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立项阶段</w:t>
            </w:r>
          </w:p>
        </w:tc>
        <w:tc>
          <w:tcPr>
            <w:tcW w:w="1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67E3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1.强化可行性研究；</w:t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Style w:val="5"/>
                <w:rFonts w:hAnsi="Arial"/>
                <w:color w:val="auto"/>
                <w:sz w:val="28"/>
                <w:szCs w:val="28"/>
                <w:lang w:val="en-US" w:eastAsia="zh-CN" w:bidi="ar"/>
              </w:rPr>
              <w:t>2.建立多部门联合评审机制；</w:t>
            </w:r>
            <w:r>
              <w:rPr>
                <w:rStyle w:val="6"/>
                <w:rFonts w:hAnsi="Arial"/>
                <w:color w:val="auto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Style w:val="6"/>
                <w:rFonts w:hAnsi="Arial"/>
                <w:color w:val="auto"/>
                <w:sz w:val="28"/>
                <w:szCs w:val="28"/>
                <w:lang w:val="en-US" w:eastAsia="zh-CN" w:bidi="ar"/>
              </w:rPr>
              <w:t>3.动态资金监管。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907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项目办、第三方评估机构、财务</w:t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科、审计人员</w:t>
            </w:r>
          </w:p>
        </w:tc>
      </w:tr>
      <w:tr w14:paraId="00890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0" w:hRule="atLeast"/>
          <w:jc w:val="center"/>
        </w:trPr>
        <w:tc>
          <w:tcPr>
            <w:tcW w:w="7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DC9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招标风险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3AD4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设置排他性技术参数(如指定品牌设备)、围标串标</w:t>
            </w:r>
          </w:p>
        </w:tc>
        <w:tc>
          <w:tcPr>
            <w:tcW w:w="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EAE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招标采购</w:t>
            </w:r>
          </w:p>
        </w:tc>
        <w:tc>
          <w:tcPr>
            <w:tcW w:w="1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4432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1.规范招标文件编制；</w:t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2.引入独立监督机制；</w:t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3.推行电子招标平台招标。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BE2E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项目办、纪检监察室、法务人员、</w:t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信息科</w:t>
            </w:r>
          </w:p>
        </w:tc>
      </w:tr>
      <w:tr w14:paraId="1C7F4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0" w:hRule="atLeast"/>
          <w:jc w:val="center"/>
        </w:trPr>
        <w:tc>
          <w:tcPr>
            <w:tcW w:w="7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6F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造价风险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4EF1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虚增土方工程量、重复计算隐</w:t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蔽工程</w:t>
            </w:r>
          </w:p>
        </w:tc>
        <w:tc>
          <w:tcPr>
            <w:tcW w:w="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DF00E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施工阶段</w:t>
            </w:r>
          </w:p>
        </w:tc>
        <w:tc>
          <w:tcPr>
            <w:tcW w:w="1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2887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1.严格工程量签证管理；</w:t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Style w:val="7"/>
                <w:rFonts w:hAnsi="Arial"/>
                <w:color w:val="auto"/>
                <w:sz w:val="28"/>
                <w:szCs w:val="28"/>
                <w:lang w:val="en-US" w:eastAsia="zh-CN" w:bidi="ar"/>
              </w:rPr>
              <w:t>2.引入全过程跟踪审计；</w:t>
            </w:r>
            <w:r>
              <w:rPr>
                <w:rStyle w:val="6"/>
                <w:rFonts w:hAnsi="Arial"/>
                <w:color w:val="auto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Style w:val="6"/>
                <w:rFonts w:hAnsi="Arial"/>
                <w:color w:val="auto"/>
                <w:sz w:val="28"/>
                <w:szCs w:val="28"/>
                <w:lang w:val="en-US" w:eastAsia="zh-CN" w:bidi="ar"/>
              </w:rPr>
              <w:t>3.应用信息化造价系统。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18B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审计科、第三方造价机构、项目办、监理单位</w:t>
            </w:r>
          </w:p>
        </w:tc>
      </w:tr>
      <w:tr w14:paraId="2D65C8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0" w:hRule="atLeast"/>
          <w:jc w:val="center"/>
        </w:trPr>
        <w:tc>
          <w:tcPr>
            <w:tcW w:w="7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F4C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质量风险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8179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偷工减料(如降低混凝土标号)、验收流于形式</w:t>
            </w:r>
          </w:p>
        </w:tc>
        <w:tc>
          <w:tcPr>
            <w:tcW w:w="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97A3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验收阶段</w:t>
            </w:r>
          </w:p>
        </w:tc>
        <w:tc>
          <w:tcPr>
            <w:tcW w:w="1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0238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1.强化监理责任；</w:t>
            </w:r>
            <w:r>
              <w:rPr>
                <w:rStyle w:val="6"/>
                <w:rFonts w:hAnsi="Arial"/>
                <w:color w:val="auto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Style w:val="6"/>
                <w:rFonts w:hAnsi="Arial"/>
                <w:color w:val="auto"/>
                <w:sz w:val="28"/>
                <w:szCs w:val="28"/>
                <w:lang w:val="en-US" w:eastAsia="zh-CN" w:bidi="ar"/>
              </w:rPr>
              <w:t>2.隐蔽工程分阶段验收；</w:t>
            </w:r>
            <w:r>
              <w:rPr>
                <w:rStyle w:val="6"/>
                <w:rFonts w:hAnsi="Arial"/>
                <w:color w:val="auto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Style w:val="6"/>
                <w:rFonts w:hAnsi="Arial"/>
                <w:color w:val="auto"/>
                <w:sz w:val="28"/>
                <w:szCs w:val="28"/>
                <w:lang w:val="en-US" w:eastAsia="zh-CN" w:bidi="ar"/>
              </w:rPr>
              <w:t>3.推行多方联合验收。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21F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项目办、监理单位、第三方检测</w:t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机构、审计人员</w:t>
            </w:r>
          </w:p>
        </w:tc>
      </w:tr>
      <w:tr w14:paraId="28FF7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5" w:hRule="atLeast"/>
          <w:jc w:val="center"/>
        </w:trPr>
        <w:tc>
          <w:tcPr>
            <w:tcW w:w="7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914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廉洁风险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1BA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收受施工单位贿赂、默许工程转包</w:t>
            </w:r>
          </w:p>
        </w:tc>
        <w:tc>
          <w:tcPr>
            <w:tcW w:w="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0310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全过程</w:t>
            </w:r>
          </w:p>
        </w:tc>
        <w:tc>
          <w:tcPr>
            <w:tcW w:w="1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F58A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1.廉政责任书签订；</w:t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2.建立利益回避制度；</w:t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3.强化外部监督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8B2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纪检监察室、审计人员、外部审计机构</w:t>
            </w:r>
          </w:p>
        </w:tc>
      </w:tr>
    </w:tbl>
    <w:p w14:paraId="03A9335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C4A9A076-B5EC-4BC6-A698-3AF915280CA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4FFFCA60-A630-4C16-8628-04AE4A33FDE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3" w:fontKey="{408D97BF-FAC1-49B4-BF12-4F25DB68C074}"/>
  </w:font>
  <w:font w:name="方正大标宋简体">
    <w:altName w:val="方正大标宋简体"/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2154002F-5908-4188-87C0-D87A6DE4C67F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B7DB0949-F446-4BEB-B1A5-0D3BFDE3D740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6" w:fontKey="{491B6548-4DFA-489A-8924-586707DECF70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7" w:fontKey="{3099D206-8F22-4F2C-9312-1F223103422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7E63F5"/>
    <w:rsid w:val="04C063D7"/>
    <w:rsid w:val="297E63F5"/>
    <w:rsid w:val="41E9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5">
    <w:name w:val="font51"/>
    <w:basedOn w:val="4"/>
    <w:qFormat/>
    <w:uiPriority w:val="0"/>
    <w:rPr>
      <w:rFonts w:hint="eastAsia" w:ascii="仿宋_GB2312" w:eastAsia="仿宋_GB2312" w:cs="仿宋_GB2312"/>
      <w:color w:val="403010"/>
      <w:sz w:val="24"/>
      <w:szCs w:val="24"/>
      <w:u w:val="none"/>
    </w:rPr>
  </w:style>
  <w:style w:type="character" w:customStyle="1" w:styleId="6">
    <w:name w:val="font21"/>
    <w:basedOn w:val="4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7">
    <w:name w:val="font61"/>
    <w:basedOn w:val="4"/>
    <w:qFormat/>
    <w:uiPriority w:val="0"/>
    <w:rPr>
      <w:rFonts w:hint="eastAsia" w:ascii="仿宋_GB2312" w:eastAsia="仿宋_GB2312" w:cs="仿宋_GB2312"/>
      <w:color w:val="60402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2026-09-04T07:38:00Z</dcterms:created>
  <dc:creator>鹿</dc:creator>
  <cp:lastModifiedBy>鹿</cp:lastModifiedBy>
  <dcterms:modified xsi:type="dcterms:W3CDTF">2026-09-04T07:39:12Z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D4565E6E9BB14B7CB0991769E8911EAE_13</vt:lpwstr>
  </property>
  <property fmtid="{D5CDD505-2E9C-101B-9397-08002B2CF9AE}" pid="4" name="KSOTemplateDocerSaveRecord">
    <vt:lpwstr>eyJoZGlkIjoiMDM4ZDc0NjQ2YmNmZTk2YzAwYmYyZWZiMjE0OWM4ZGUiLCJ1c2VySWQiOiIyODY0ODkyMzQifQ==</vt:lpwstr>
  </property>
</Properties>
</file>