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78412">
      <w:pPr>
        <w:pStyle w:val="2"/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附件1</w:t>
      </w:r>
    </w:p>
    <w:p w14:paraId="29C692CC">
      <w:pPr>
        <w:pStyle w:val="2"/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大标宋简体" w:hAnsi="方正大标宋简体" w:eastAsia="方正大标宋简体" w:cs="方正大标宋简体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  <w:t>大型设备购置主要风险点及防控措施</w:t>
      </w:r>
      <w:bookmarkEnd w:id="0"/>
    </w:p>
    <w:tbl>
      <w:tblPr>
        <w:tblStyle w:val="3"/>
        <w:tblW w:w="553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2221"/>
        <w:gridCol w:w="1415"/>
        <w:gridCol w:w="2751"/>
        <w:gridCol w:w="1574"/>
      </w:tblGrid>
      <w:tr w14:paraId="08A6E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BB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风险类型</w:t>
            </w:r>
          </w:p>
        </w:tc>
        <w:tc>
          <w:tcPr>
            <w:tcW w:w="1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36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具体风险表现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52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高发环节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53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11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实施部门</w:t>
            </w:r>
          </w:p>
        </w:tc>
      </w:tr>
      <w:tr w14:paraId="0125F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 w:hRule="atLeast"/>
          <w:jc w:val="center"/>
        </w:trPr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7F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决策风险</w:t>
            </w:r>
          </w:p>
        </w:tc>
        <w:tc>
          <w:tcPr>
            <w:tcW w:w="1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40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未经充分论证或集体决策，导致资金损失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21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立项阶段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B0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1.建立“三重一大”管理制度；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2.建立党委会议事规则；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3.强制引入第三方可行性评估报告。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A4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党办、器械科、审计人员</w:t>
            </w:r>
          </w:p>
        </w:tc>
      </w:tr>
      <w:tr w14:paraId="7DEE9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F5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招标风险</w:t>
            </w:r>
          </w:p>
        </w:tc>
        <w:tc>
          <w:tcPr>
            <w:tcW w:w="1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01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设置排他性技术参数(如指定品牌设备)、围标串标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D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招标采购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68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1.规范招标文件编制；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2.引入独立监督机制；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3.推行电子招标平台招标。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07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器械科、纪检监察室、法务人员、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信息科</w:t>
            </w:r>
          </w:p>
        </w:tc>
      </w:tr>
      <w:tr w14:paraId="0D141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33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合同管理风险</w:t>
            </w:r>
          </w:p>
        </w:tc>
        <w:tc>
          <w:tcPr>
            <w:tcW w:w="1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4B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付款方式、交付时间、验收标准、违约责任等约定不清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C5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采购过程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722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1.明确关键条款；</w:t>
            </w:r>
          </w:p>
          <w:p w14:paraId="19FB32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2.细化验收标准；</w:t>
            </w:r>
          </w:p>
          <w:p w14:paraId="492744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3.设定明确罚则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15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器械科、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纪检监察室、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法务人员</w:t>
            </w:r>
          </w:p>
        </w:tc>
      </w:tr>
      <w:tr w14:paraId="7178A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83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资金管理风险</w:t>
            </w:r>
          </w:p>
        </w:tc>
        <w:tc>
          <w:tcPr>
            <w:tcW w:w="1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0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超预算投资、挪用专项资金或未专款专用</w:t>
            </w:r>
          </w:p>
        </w:tc>
        <w:tc>
          <w:tcPr>
            <w:tcW w:w="7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26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资金支付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89F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1.采购资金纳入预算统一管理；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2.大额支付需双人复核+电子留痕。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C6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财务科、器械科、审计人员</w:t>
            </w:r>
          </w:p>
        </w:tc>
      </w:tr>
    </w:tbl>
    <w:p w14:paraId="28F49A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4C7A6B6-A3AB-4FD8-9466-78C5D772919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7928F83-2101-4F80-9F02-3E0B1E8FBF20}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4536CBCB-D9AE-4BD5-B450-94B3216F7B4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3104F80-908C-493A-95AC-BEED8260E5B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C8D0FFAB-72EF-4238-AF01-365B7FC70E4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4D94678F-4D9C-46C5-BBA4-68B4D86B64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E63F5"/>
    <w:rsid w:val="04C063D7"/>
    <w:rsid w:val="297E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2026-09-04T07:38:00Z</dcterms:created>
  <dc:creator>鹿</dc:creator>
  <cp:lastModifiedBy>鹿</cp:lastModifiedBy>
  <dcterms:modified xsi:type="dcterms:W3CDTF">2026-09-04T07:38:38Z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BF28C852710C47B2A8E9D1DBB76AACD8_13</vt:lpwstr>
  </property>
  <property fmtid="{D5CDD505-2E9C-101B-9397-08002B2CF9AE}" pid="4" name="KSOTemplateDocerSaveRecord">
    <vt:lpwstr>eyJoZGlkIjoiMDM4ZDc0NjQ2YmNmZTk2YzAwYmYyZWZiMjE0OWM4ZGUiLCJ1c2VySWQiOiIyODY0ODkyMzQifQ==</vt:lpwstr>
  </property>
</Properties>
</file>