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67976">
      <w:pPr>
        <w:pStyle w:val="2"/>
        <w:keepNext w:val="0"/>
        <w:keepLines w:val="0"/>
        <w:pageBreakBefore w:val="0"/>
        <w:widowControl w:val="0"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right="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附件3</w:t>
      </w:r>
    </w:p>
    <w:p w14:paraId="0107E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  <w:t>合作办医主要风险点及防控措施</w:t>
      </w:r>
      <w:bookmarkEnd w:id="0"/>
    </w:p>
    <w:tbl>
      <w:tblPr>
        <w:tblStyle w:val="3"/>
        <w:tblW w:w="553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8"/>
        <w:gridCol w:w="2220"/>
        <w:gridCol w:w="1517"/>
        <w:gridCol w:w="2671"/>
        <w:gridCol w:w="1683"/>
      </w:tblGrid>
      <w:tr w14:paraId="68A87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07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风险类型</w:t>
            </w:r>
          </w:p>
        </w:tc>
        <w:tc>
          <w:tcPr>
            <w:tcW w:w="1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B0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具体风险表现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C7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高发环节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C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防控措施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5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实施部门</w:t>
            </w:r>
          </w:p>
        </w:tc>
      </w:tr>
      <w:tr w14:paraId="0E8CD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B9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法律合规风险</w:t>
            </w:r>
          </w:p>
        </w:tc>
        <w:tc>
          <w:tcPr>
            <w:tcW w:w="1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7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合作模式涉及“变相分配收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益”或超范围执业(如未备案的科室托管)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50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top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合同签署、项目审批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1.建立标准化合同模板，明确合作范围及违约责任；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2.合作前开展尽职调查与法律审查。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FA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法务、审计人员</w:t>
            </w:r>
          </w:p>
        </w:tc>
      </w:tr>
      <w:tr w14:paraId="7FA96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B7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财务与资产流失</w:t>
            </w:r>
          </w:p>
          <w:p w14:paraId="3F295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</w:t>
            </w:r>
          </w:p>
        </w:tc>
        <w:tc>
          <w:tcPr>
            <w:tcW w:w="1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2B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未规范评估医院品牌价值或合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同条款模糊(如未明确合作费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用支付方式)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A0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资产评估、资金拨付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4A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1.引入第三方资产评估机构；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2.动态监控资金流向，定期核对账实。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75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财务科、资产管理人员</w:t>
            </w:r>
          </w:p>
        </w:tc>
      </w:tr>
      <w:tr w14:paraId="3F238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  <w:jc w:val="center"/>
        </w:trPr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D4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管理风险</w:t>
            </w:r>
          </w:p>
        </w:tc>
        <w:tc>
          <w:tcPr>
            <w:tcW w:w="1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4B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外派人员双重取酬或技术骨干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流失至合作机构，缺乏有效约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束机制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A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人员外派、合同执行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A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1.制定外派人员薪酬及竞业限制协议；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2.定期开展合规培训与廉政教育。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F7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人事科、纪检监察室</w:t>
            </w:r>
          </w:p>
        </w:tc>
      </w:tr>
      <w:tr w14:paraId="36C91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50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廉政风险</w:t>
            </w:r>
          </w:p>
        </w:tc>
        <w:tc>
          <w:tcPr>
            <w:tcW w:w="1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46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招标采购环节存在围标串标、参数特指性设置(如设备采购量身定制参数)</w:t>
            </w:r>
          </w:p>
        </w:tc>
        <w:tc>
          <w:tcPr>
            <w:tcW w:w="8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B2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采购招标、资金使用</w:t>
            </w:r>
          </w:p>
        </w:tc>
        <w:tc>
          <w:tcPr>
            <w:tcW w:w="14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AC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1.实施招标采购全流程电子化，设置独立监督岗；</w:t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2.建立供应商黑名单制度。</w:t>
            </w:r>
          </w:p>
        </w:tc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A9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Arial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采购部门、纪检监察室</w:t>
            </w:r>
          </w:p>
        </w:tc>
      </w:tr>
    </w:tbl>
    <w:p w14:paraId="117E2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rPr>
          <w:rFonts w:hint="eastAsia" w:ascii="方正大标宋简体" w:hAnsi="方正大标宋简体" w:eastAsia="方正大标宋简体" w:cs="方正大标宋简体"/>
          <w:i w:val="0"/>
          <w:iCs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</w:p>
    <w:p w14:paraId="78C019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3CF16FC-E519-4056-9CFE-0193692639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787C4C9-F92E-4A0A-A626-059FFCEDE9B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EEDFFC15-3B20-4718-AB2B-99013CEC0020}"/>
  </w:font>
  <w:font w:name="方正大标宋简体">
    <w:altName w:val="方正大标宋简体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EA43BB8-6490-4C04-99C0-32A2034BEE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F0C61840-330E-4434-9195-5978A2841AA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88CC4B50-8C5A-4F30-AC0F-262B23FFDFD3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475BF47B-7544-4BA7-935A-65F2AE32BB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E63F5"/>
    <w:rsid w:val="04C063D7"/>
    <w:rsid w:val="297E63F5"/>
    <w:rsid w:val="36231CDE"/>
    <w:rsid w:val="41E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51"/>
    <w:basedOn w:val="4"/>
    <w:qFormat/>
    <w:uiPriority w:val="0"/>
    <w:rPr>
      <w:rFonts w:hint="eastAsia" w:ascii="仿宋_GB2312" w:eastAsia="仿宋_GB2312" w:cs="仿宋_GB2312"/>
      <w:color w:val="403010"/>
      <w:sz w:val="24"/>
      <w:szCs w:val="24"/>
      <w:u w:val="none"/>
    </w:rPr>
  </w:style>
  <w:style w:type="character" w:customStyle="1" w:styleId="6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61"/>
    <w:basedOn w:val="4"/>
    <w:qFormat/>
    <w:uiPriority w:val="0"/>
    <w:rPr>
      <w:rFonts w:hint="eastAsia" w:ascii="仿宋_GB2312" w:eastAsia="仿宋_GB2312" w:cs="仿宋_GB2312"/>
      <w:color w:val="60402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2026-09-04T07:38:00Z</dcterms:created>
  <dc:creator>鹿</dc:creator>
  <cp:lastModifiedBy>鹿</cp:lastModifiedBy>
  <dcterms:modified xsi:type="dcterms:W3CDTF">2026-09-04T07:39:39Z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A775AD075DE941A2B804DD637F0928D0_13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